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4.png" ContentType="image/png"/>
  <Override PartName="/word/media/rId60.png" ContentType="image/png"/>
  <Override PartName="/word/media/rId51.png" ContentType="image/png"/>
  <Override PartName="/word/media/rId56.png" ContentType="image/png"/>
  <Override PartName="/word/media/rId55.png" ContentType="image/png"/>
  <Override PartName="/word/media/rId59.png" ContentType="image/png"/>
  <Override PartName="/word/media/rId53.png" ContentType="image/png"/>
  <Override PartName="/word/media/rId61.png" ContentType="image/png"/>
  <Override PartName="/word/media/rId58.png" ContentType="image/png"/>
  <Override PartName="/word/media/rId57.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FirstParagraph"/>
      </w:pPr>
      <w:r>
        <w:t xml:space="preserve">Version Date: Fri May 11 15:35:17 2018 -0700</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the Stream Classification and Priority Explorer (SCAPE),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pStyle w:val="FirstParagraph"/>
      </w:pPr>
      <w:r>
        <w:t xml:space="preserve">Degraded biological condition in streams can occur from individual or multiple stressors acting at different spatial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 Nearly half of all streams and rivers in the USA are considered in poor condition as related to the most commonly observed in-stream stressors, such as excess phosophorus, nitrogen, or altered physical habitat</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These proximal and immediate causes of poor biological condition are often linked to landscape-level factors that occur in the watershed. In many urban and agricultural areas the majority of stream miles are not healthy and in need of some level of management</w:t>
      </w:r>
      <w:r>
        <w:t xml:space="preserve"> </w:t>
      </w:r>
      <w:r>
        <w:t xml:space="preserve">(USGS (US Geological Survey)</w:t>
      </w:r>
      <w:r>
        <w:t xml:space="preserve"> </w:t>
      </w:r>
      <w:hyperlink w:anchor="ref-USGS99">
        <w:r>
          <w:rPr>
            <w:rStyle w:val="Hyperlink"/>
          </w:rPr>
          <w:t xml:space="preserve">1999</w:t>
        </w:r>
      </w:hyperlink>
      <w:r>
        <w:t xml:space="preserve">; Finkenbine, Atwater, and Mavinic</w:t>
      </w:r>
      <w:r>
        <w:t xml:space="preserve"> </w:t>
      </w:r>
      <w:hyperlink w:anchor="ref-Finkenbine00">
        <w:r>
          <w:rPr>
            <w:rStyle w:val="Hyperlink"/>
          </w:rPr>
          <w:t xml:space="preserve">2000</w:t>
        </w:r>
      </w:hyperlink>
      <w:r>
        <w:t xml:space="preserve">; Morgan and Cushman</w:t>
      </w:r>
      <w:r>
        <w:t xml:space="preserve"> </w:t>
      </w:r>
      <w:hyperlink w:anchor="ref-Morgan05">
        <w:r>
          <w:rPr>
            <w:rStyle w:val="Hyperlink"/>
          </w:rPr>
          <w:t xml:space="preserve">2005</w:t>
        </w:r>
      </w:hyperlink>
      <w:r>
        <w:t xml:space="preserve">)</w:t>
      </w:r>
      <w:r>
        <w:t xml:space="preserve">. Mechanistic linkages between land use and degraded biological condition are understood in some cases (e.g.,</w:t>
      </w:r>
      <w:r>
        <w:t xml:space="preserve"> </w:t>
      </w:r>
      <w:r>
        <w:t xml:space="preserve">Allan (</w:t>
      </w:r>
      <w:hyperlink w:anchor="ref-Allan04">
        <w:r>
          <w:rPr>
            <w:rStyle w:val="Hyperlink"/>
          </w:rPr>
          <w:t xml:space="preserve">2004</w:t>
        </w:r>
      </w:hyperlink>
      <w:r>
        <w:t xml:space="preserve">)</w:t>
      </w:r>
      <w:r>
        <w:t xml:space="preserve">,</w:t>
      </w:r>
      <w:r>
        <w:t xml:space="preserve"> </w:t>
      </w:r>
      <w:r>
        <w:t xml:space="preserve">Riseng et al. (</w:t>
      </w:r>
      <w:hyperlink w:anchor="ref-Riseng11">
        <w:r>
          <w:rPr>
            <w:rStyle w:val="Hyperlink"/>
          </w:rPr>
          <w:t xml:space="preserve">2011</w:t>
        </w:r>
      </w:hyperlink>
      <w:r>
        <w:t xml:space="preserve">)</w:t>
      </w:r>
      <w:r>
        <w:t xml:space="preserve">), whereas the precise link between land use and instream condition may not be clear for other causal pathways (e.g.,</w:t>
      </w:r>
      <w:r>
        <w:t xml:space="preserve"> </w:t>
      </w:r>
      <w:r>
        <w:t xml:space="preserve">Cormier et al. (</w:t>
      </w:r>
      <w:hyperlink w:anchor="ref-Cormier13">
        <w:r>
          <w:rPr>
            <w:rStyle w:val="Hyperlink"/>
          </w:rPr>
          <w:t xml:space="preserve">2013</w:t>
        </w:r>
      </w:hyperlink>
      <w:r>
        <w:t xml:space="preserve">)</w:t>
      </w:r>
      <w:r>
        <w:t xml:space="preserve">). However, land use has long been used as a proxy for water quality and a mechanistic understanding of causation is often not required to predict degraded condition as a function of watershed activities. Consistent and empirical links between land use thresholds and poor biotic integrity have been identified in many cases</w:t>
      </w:r>
      <w:r>
        <w:t xml:space="preserve"> </w:t>
      </w:r>
      <w:r>
        <w:t xml:space="preserve">(Allan, Erickson, and Fay</w:t>
      </w:r>
      <w:r>
        <w:t xml:space="preserve"> </w:t>
      </w:r>
      <w:hyperlink w:anchor="ref-Allan97">
        <w:r>
          <w:rPr>
            <w:rStyle w:val="Hyperlink"/>
          </w:rPr>
          <w:t xml:space="preserve">2007</w:t>
        </w:r>
      </w:hyperlink>
      <w:r>
        <w:t xml:space="preserve">; Wang et al.</w:t>
      </w:r>
      <w:r>
        <w:t xml:space="preserve"> </w:t>
      </w:r>
      <w:hyperlink w:anchor="ref-Wang97">
        <w:r>
          <w:rPr>
            <w:rStyle w:val="Hyperlink"/>
          </w:rPr>
          <w:t xml:space="preserve">1997</w:t>
        </w:r>
      </w:hyperlink>
      <w:r>
        <w:t xml:space="preserve">; Clapcott et al.</w:t>
      </w:r>
      <w:r>
        <w:t xml:space="preserve"> </w:t>
      </w:r>
      <w:hyperlink w:anchor="ref-Clapcott11">
        <w:r>
          <w:rPr>
            <w:rStyle w:val="Hyperlink"/>
          </w:rPr>
          <w:t xml:space="preserve">2011</w:t>
        </w:r>
      </w:hyperlink>
      <w:r>
        <w:t xml:space="preserve">)</w:t>
      </w:r>
      <w:r>
        <w:t xml:space="preserve">.</w:t>
      </w:r>
    </w:p>
    <w:p>
      <w:pPr>
        <w:pStyle w:val="BodyText"/>
      </w:pPr>
      <w:r>
        <w:t xml:space="preserve">Approaches to manage biotic integrity in streams can have variable success depending on site-specific and watershed characteristics. Restoration or protective measures at degraded sites commonly focus on direct improvements at the site-level to mitigate stressors that are ulimately linked to sources upstream</w:t>
      </w:r>
      <w:r>
        <w:t xml:space="preserve"> </w:t>
      </w:r>
      <w:r>
        <w:t xml:space="preserve">(Carline and Walsh</w:t>
      </w:r>
      <w:r>
        <w:t xml:space="preserve"> </w:t>
      </w:r>
      <w:hyperlink w:anchor="ref-Carline07">
        <w:r>
          <w:rPr>
            <w:rStyle w:val="Hyperlink"/>
          </w:rPr>
          <w:t xml:space="preserve">2007</w:t>
        </w:r>
      </w:hyperlink>
      <w:r>
        <w:t xml:space="preserve">; Lester and Boulton</w:t>
      </w:r>
      <w:r>
        <w:t xml:space="preserve"> </w:t>
      </w:r>
      <w:hyperlink w:anchor="ref-Lester08">
        <w:r>
          <w:rPr>
            <w:rStyle w:val="Hyperlink"/>
          </w:rPr>
          <w:t xml:space="preserve">2008</w:t>
        </w:r>
      </w:hyperlink>
      <w:r>
        <w:t xml:space="preserve">; Roni and Beechi</w:t>
      </w:r>
      <w:r>
        <w:t xml:space="preserve"> </w:t>
      </w:r>
      <w:hyperlink w:anchor="ref-Roni12">
        <w:r>
          <w:rPr>
            <w:rStyle w:val="Hyperlink"/>
          </w:rPr>
          <w:t xml:space="preserve">2012</w:t>
        </w:r>
      </w:hyperlink>
      <w:r>
        <w:t xml:space="preserve">)</w:t>
      </w:r>
      <w:r>
        <w:t xml:space="preserve">. Alternatively, upstream preventative measures can also be incentivized at the local level (e.g., farmland best management practices) or enforced through regulation to limit release of pollutants (e.g., NPDES). These common approaches have been successful to restore or protect stream health when consistently applied but they are not sufficient across all stream types given the land use constraints that can place upper limits on stream health. The resources required to restore a highly degraded stream in an urban or agricultural setting can be cost-prohibitive and it may be impractical to expect biological integrity to be restored to reference conditions</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 Many streams in urban areas are also engineered as reinforced channels and can have the same regulatory requirements as streams in less modified areas despite the obvious and immutable changes in physical habitat. The ability to effectively manage stream health at the landscape level could depend on developing an expectation of biological potential as a function of land use constraints. This approach could be used to prioritize locations where management actions are most likely to have the intended outcomes relative to what is likely to be achieved given a landscape context.</w:t>
      </w:r>
    </w:p>
    <w:p>
      <w:pPr>
        <w:pStyle w:val="BodyText"/>
      </w:pPr>
      <w:r>
        <w:t xml:space="preserve">An approach to comprehensively evaluate the potential for success of alternative management scenarios for streams given landscape constraints could be developed with predictive models. Previous efforts have focused on using geospatial data to predict biological condition at regional or national scales. Initial efforts have focused on classifying biological condition (altered vs. unaltered) in streams from widely available geospatial data and have since been adapted to predicting a continuous range of biological condition</w:t>
      </w:r>
      <w:r>
        <w:t xml:space="preserve"> </w:t>
      </w:r>
      <w:r>
        <w:t xml:space="preserve">(Vølstad et al.</w:t>
      </w:r>
      <w:r>
        <w:t xml:space="preserve"> </w:t>
      </w:r>
      <w:hyperlink w:anchor="ref-Volstad04">
        <w:r>
          <w:rPr>
            <w:rStyle w:val="Hyperlink"/>
          </w:rPr>
          <w:t xml:space="preserve">2004</w:t>
        </w:r>
      </w:hyperlink>
      <w:r>
        <w:t xml:space="preserve">; Carlisle, Falcone, and Meador</w:t>
      </w:r>
      <w:r>
        <w:t xml:space="preserve"> </w:t>
      </w:r>
      <w:hyperlink w:anchor="ref-Carlisle09">
        <w:r>
          <w:rPr>
            <w:rStyle w:val="Hyperlink"/>
          </w:rPr>
          <w:t xml:space="preserve">2009</w:t>
        </w:r>
      </w:hyperlink>
      <w:r>
        <w:t xml:space="preserve">)</w:t>
      </w:r>
      <w:r>
        <w:t xml:space="preserve">. More recent work has expanded the use of predictive models to the national scale to create an overall description of biological condition across ecoregions of the United States</w:t>
      </w:r>
      <w:r>
        <w:t xml:space="preserve"> </w:t>
      </w:r>
      <w:r>
        <w:t xml:space="preserve">(Hill et al.</w:t>
      </w:r>
      <w:r>
        <w:t xml:space="preserve"> </w:t>
      </w:r>
      <w:hyperlink w:anchor="ref-Hill17">
        <w:r>
          <w:rPr>
            <w:rStyle w:val="Hyperlink"/>
          </w:rPr>
          <w:t xml:space="preserve">2017</w:t>
        </w:r>
      </w:hyperlink>
      <w:r>
        <w:t xml:space="preserve">)</w:t>
      </w:r>
      <w:r>
        <w:t xml:space="preserve">. This latter approach differed from previous work by leveraging more recently developed and highly detailed geospatial datasets, namely the National Hydrography Dataset and the StreamCat dataset that complements the NHD by linking watershed data to individual stream reaches. These previous studies were developed primarily to characterize biological condition at unsampled reaches and contribute to the understanding of how biotic integrity varies across the landscape. However, the application of landscape models to desribe stream health is relatively new and can be explored in more detail to facilitate an expectation of condition.</w:t>
      </w:r>
    </w:p>
    <w:p>
      <w:pPr>
        <w:pStyle w:val="BodyText"/>
      </w:pPr>
      <w:r>
        <w:t xml:space="preserve">Landscape-level constraints are particularly relevant for stream macroinvertebrate communities</w:t>
      </w:r>
      <w:r>
        <w:t xml:space="preserve"> </w:t>
      </w:r>
      <w:r>
        <w:t xml:space="preserve">(Sponseller, Benfield, and Valett</w:t>
      </w:r>
      <w:r>
        <w:t xml:space="preserve"> </w:t>
      </w:r>
      <w:hyperlink w:anchor="ref-Sponseller01">
        <w:r>
          <w:rPr>
            <w:rStyle w:val="Hyperlink"/>
          </w:rPr>
          <w:t xml:space="preserve">2001</w:t>
        </w:r>
      </w:hyperlink>
      <w:r>
        <w:t xml:space="preserve">)</w:t>
      </w:r>
      <w:r>
        <w:t xml:space="preserve"> </w:t>
      </w:r>
      <w:r>
        <w:t xml:space="preserve">and could be used to predict a range of expectations for biotic integrity. This approach could build on previous applications of landscape models by predicting a lower and upper estimate of what is possible relative to the landscape, in addition to estimating biological condition at unsampled reaches. Once the predicted response of macroinvertebrate comunities to landscape changes at large spatial scales are understood, expectations can be compared to field samples and sites can be prioritized by local managers to ensure resources are wisely allocated. A necessary assumption for using predictive tools to prioritize management actions is that the derived expectation does not provide a discount against locations with high constraints on biological condition, such as engineered channels in urban environments. For example, these tools could be used to identify sites with high biological condition relative to the constraints, which otherwise may not have been apparent without a landscape context. As such, development of contextual tools for understanding biological condition across landscape gradients could provide a powerful approach to informing the use of limited resources to manage stream integirty</w:t>
      </w:r>
    </w:p>
    <w:p>
      <w:pPr>
        <w:pStyle w:val="BodyText"/>
      </w:pPr>
      <w:r>
        <w:t xml:space="preserve">The goal of this project is to demonstrate application of a landscape model to classify and prioritize stream monitoring sites using estimated constraints on biological integrity. This work builds on the knowledge and relationships developed through existing monitoring programs and applies that in a predictive manner across entire landscapes to inform management decisions. The model was developed and applied to all stream reaches in California. A case study also demonstrates how the model can be used to classify and prioritize by watershed using guidance from a regional stakeholder group. Specific questions that were addressed through the case study included 1) How can the statewide model be used in a regionally-specific context, 2) What characteristics of the model affected the interpretation of stream constraints, and 3) How can the results be incorporated into a formal decision-making process including the definition of recommended management actions derived from model results? Active stakeholder involvement was critical in applying the landscape models to define a framework for decision-making because priorities varied with management objectives. Overall, the landscape model can provide the necessary context for evaluating observed bioassessment data that has the potential to inform where management actions are most likely to have the intended outcomes.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FirstParagraph"/>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(Figure</w:t>
      </w:r>
      <w:r>
        <w:t xml:space="preserv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4" w:name="building-and-validating-landscape-models"/>
      <w:r>
        <w:t xml:space="preserve">Building and validating landscape models</w:t>
      </w:r>
      <w:bookmarkEnd w:id="34"/>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5" w:name="san-gabriel-river-watershed-case-study"/>
      <w:r>
        <w:t xml:space="preserve">San Gabriel River watershed case study</w:t>
      </w:r>
      <w:bookmarkEnd w:id="35"/>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participation to include diverse management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decision-making processes.</w:t>
      </w:r>
    </w:p>
    <w:p>
      <w:pPr>
        <w:pStyle w:val="Heading2"/>
      </w:pPr>
      <w:bookmarkStart w:id="36" w:name="reach-classification-site-performance-and-prioritization"/>
      <w:r>
        <w:t xml:space="preserve">Reach classification, site performance, and prioritization</w:t>
      </w:r>
      <w:bookmarkEnd w:id="36"/>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CSCI expectations at a reach with the chosen CSCI threshold, where expectations could be below, above, or overlapping the threshold. Stream reaches with a range of CSCI score expectations entirely below the threshold were considered likely constrained, whereas those with expectations entirely above were considered likely unconstrained. Reaches with score expectations that overlapped the CSCI threshold were considered possibly constrained or possibly unconstrained, where distinction between the two was based on location of the median expectation of a reach relative to the threshold.</w:t>
      </w:r>
    </w:p>
    <w:p>
      <w:pPr>
        <w:pStyle w:val="BodyText"/>
      </w:pPr>
      <w:r>
        <w:t xml:space="preserve">CSCI scores from biomonitoring data were used to define relative sites scores at a sample site given the stream reach classification (Figure</w:t>
      </w:r>
      <w:r>
        <w:t xml:space="preserve"> </w:t>
      </w:r>
      <w:r>
        <w:t xml:space="preserve">3</w:t>
      </w:r>
      <w:r>
        <w:t xml:space="preserve">d). For each of the four reach classifications (likely constrained, possibly constrained, possibly unconstrained, and likely unconstrained), relative site scores were defined based on location to the range of expected CSCI scores. This provided a definition that can be used to understand the observed score relative to the biological context of a reach. Sites with observed scores above the upper limit of the reach expectation (e.g., above the 95th percentile of expected scores) were considered over scoring and sites below the lower limit were under scoring. Sites with CSCI scores within the range of expectations were as expected.</w:t>
      </w:r>
    </w:p>
    <w:p>
      <w:pPr>
        <w:pStyle w:val="BodyText"/>
      </w:pPr>
      <w:r>
        <w:t xml:space="preserve">Categories for relative sites scores were further split if they were above or below the selected CSCI threshold. This final split was created with the intent that description of site scores relative to a defined threshold (e.g., impairment threshold or restoration target) should also be considered. Specifically, a fourth category for sites within each reach classification was added to define a site as above or below the threshold. For a likely unconstrained reach, under scoring sites below the minimum expected score were additionally defined as being above or below the CSCI threshold. Similarly, over scoring sites above the maximum expected score in a likely constrained reach were additionally defined as being below or above the CSCI threshold. For possibly constrained and possibly unconstrained reaches, sites that were as expected were additionally defined as being below or above the CSCI threshold. In total, sixteen site types were defined for the reach classifications (Table</w:t>
      </w:r>
      <w:r>
        <w:t xml:space="preserve"> </w:t>
      </w:r>
      <w:r>
        <w:t xml:space="preserve">1</w:t>
      </w:r>
      <w:r>
        <w:t xml:space="preserve">).</w:t>
      </w:r>
    </w:p>
    <w:p>
      <w:pPr>
        <w:pStyle w:val="BodyText"/>
      </w:pPr>
      <w:r>
        <w:t xml:space="preserve">Each site type was used to define a priority as a demonstration of how results from the landscape model can inform different stream management objectives. This final process relied exclusively on feedback from the stakeholder group. The interactive and online Stream Classification and Priority Explorer (SCAPE) tool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(e.g., monitoring, regulation, etc.). Stakeholders were tasked with identifying their relevant priorities by ranking each site type from high to low priority using a graphical template of Table</w:t>
      </w:r>
      <w:r>
        <w:t xml:space="preserve"> </w:t>
      </w:r>
      <w:r>
        <w:t xml:space="preserve">1</w:t>
      </w:r>
      <w:r>
        <w:t xml:space="preserve"> </w:t>
      </w:r>
      <w:r>
        <w:t xml:space="preserve">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1"/>
          <w:ilvl w:val="0"/>
        </w:numPr>
      </w:pPr>
      <w:r>
        <w:t xml:space="preserve">Investigate: Additional monitoring or review of supplementary data (e.g., field visits, review aerial imagery);</w:t>
      </w:r>
    </w:p>
    <w:p>
      <w:pPr>
        <w:pStyle w:val="Compact"/>
        <w:numPr>
          <w:numId w:val="1001"/>
          <w:ilvl w:val="0"/>
        </w:numPr>
      </w:pPr>
      <w:r>
        <w:t xml:space="preserve">Protect: Additional scrutiny of proposed development and/or projects;</w:t>
      </w:r>
    </w:p>
    <w:p>
      <w:pPr>
        <w:pStyle w:val="Compact"/>
        <w:numPr>
          <w:numId w:val="1001"/>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Heading2"/>
      </w:pPr>
      <w:bookmarkStart w:id="37" w:name="factors-explaining-constraints-and-sensitivity-analysis"/>
      <w:r>
        <w:t xml:space="preserve">Factors explaining constraints and sensitivity analysis</w:t>
      </w:r>
      <w:bookmarkEnd w:id="37"/>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(or certainty) from the landscape model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conservative threshold or decreased for a more relaxed threshold. The combined effects of changing both the certainty in the model and the CSCI threshold were evaluated to estimate the changes in stream miles in each classification.</w:t>
      </w:r>
    </w:p>
    <w:p>
      <w:pPr>
        <w:pStyle w:val="Heading2"/>
      </w:pPr>
      <w:bookmarkStart w:id="38" w:name="unclassified-reaches"/>
      <w:r>
        <w:t xml:space="preserve">Unclassified reaches</w:t>
      </w:r>
      <w:bookmarkEnd w:id="38"/>
    </w:p>
    <w:p>
      <w:pPr>
        <w:pStyle w:val="FirstParagraph"/>
      </w:pPr>
      <w:r>
        <w:t xml:space="preserve">Finally, some stream reaches were not classifed following application of the landscape model to the statewide hydrography dataset. Unclassified reaches occurred if StreamCat data were unavailable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An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neither of the two (other)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urban and agricultural land use. The expected ranges for each land use type in each region were based on averages of ranges across all reaches in the identified clusters.</w:t>
      </w:r>
    </w:p>
    <w:p>
      <w:pPr>
        <w:pStyle w:val="Heading1"/>
      </w:pPr>
      <w:bookmarkStart w:id="39" w:name="results"/>
      <w:r>
        <w:t xml:space="preserve">Results</w:t>
      </w:r>
      <w:bookmarkEnd w:id="39"/>
    </w:p>
    <w:p>
      <w:pPr>
        <w:pStyle w:val="Heading2"/>
      </w:pPr>
      <w:bookmarkStart w:id="40" w:name="state-wide-patterns"/>
      <w:r>
        <w:t xml:space="preserve">State-wide patterns</w:t>
      </w:r>
      <w:bookmarkEnd w:id="40"/>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Agreement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predictions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where strong gradients occur in many watersheds. Conversely, the model did not perform well in regions where developed landscapes were less common, such as the Sierra Nevada region.</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were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Heading2"/>
      </w:pPr>
      <w:bookmarkStart w:id="41" w:name="case-study"/>
      <w:r>
        <w:t xml:space="preserve">Case study</w:t>
      </w:r>
      <w:bookmarkEnd w:id="41"/>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watershed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identified by the stakeholder group (investigate, protect, restore)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Heading2"/>
      </w:pPr>
      <w:bookmarkStart w:id="42" w:name="drivers-of-biological-constraints-and-sensitivity-analysis"/>
      <w:r>
        <w:t xml:space="preserve">Drivers of biological constraints and sensitivity analysis</w:t>
      </w:r>
      <w:bookmarkEnd w:id="42"/>
    </w:p>
    <w:p>
      <w:pPr>
        <w:pStyle w:val="FirstParagraph"/>
      </w:pPr>
      <w:r>
        <w:t xml:space="preserve">Importance measures from random forest models identified key variables that explained the differences between constrained and unconstrained reaches between each region (Figure</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BodyText"/>
      </w:pPr>
      <w:r>
        <w:t xml:space="preserve">The effects of changing certainty in the CSCI predictions and a hypothetical CSCI threshold were evaluated for twenty-seven scenarios to identify the change in stream reach classifications (Figure</w:t>
      </w:r>
      <w:r>
        <w:t xml:space="preserve"> </w:t>
      </w:r>
      <w:r>
        <w:t xml:space="preserve">11</w:t>
      </w:r>
      <w:r>
        <w:t xml:space="preserve">). Changes were evaluated as the percentage of stream length statewide and within major regions for each reach classification. Decreasing the certainty of predictions from the landscape model by choosing a narrower range of scores (5th/95th to 45th/55th at 5% intervals) increased the number of streams from the possible to likely category in both constrained and unconstrained reaches. Similarly, changing the CSCI threshold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the highest level of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Heading2"/>
      </w:pPr>
      <w:bookmarkStart w:id="43" w:name="unclassified-reaches-1"/>
      <w:r>
        <w:t xml:space="preserve">Unclassified reaches</w:t>
      </w:r>
      <w:bookmarkEnd w:id="43"/>
    </w:p>
    <w:p>
      <w:pPr>
        <w:pStyle w:val="FirstParagraph"/>
      </w:pPr>
      <w:r>
        <w:t xml:space="preserve">Ranges of expected CSCI scores for typical reaches in urban, agricultural, and neither of the two (other) are shown in table</w:t>
      </w:r>
      <w:r>
        <w:t xml:space="preserve"> </w:t>
      </w:r>
      <w:r>
        <w:t xml:space="preserve">5</w:t>
      </w:r>
      <w:r>
        <w:t xml:space="preserve">. These typical values are shown for more to less certainty in the range of predictions. Unclassified reaches can be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Heading1"/>
      </w:pPr>
      <w:bookmarkStart w:id="44" w:name="discussion"/>
      <w:r>
        <w:t xml:space="preserve">Discussion</w:t>
      </w:r>
      <w:bookmarkEnd w:id="44"/>
    </w:p>
    <w:p>
      <w:pPr>
        <w:pStyle w:val="FirstParagraph"/>
      </w:pPr>
      <w:r>
        <w:t xml:space="preserve">The landscape models were able to identify the location and extent of biologically constrained channels at the state level and major regions in California. Our application to the SGR watershed demonstrated how the results of the model can be used at the scale of an individual watershed through close interaction with a regional stakeholder group with direct interests in managing the local resources. Overall, the models provide tools that allow managers to determine how best to use limited resources for stream management by focusing on reaches where recommended actions are most likely to have the intended outcome of improving or protecting biological condition. The approach also leverages all available information to develop a context for biological assessment that provides an unambiguous expectation of what is likely to be achieved at any sampling location. This can facilitate more targeted management actions that vary depending on the identified context and can also inform decisions on extent and effort for future monitoring locations.</w:t>
      </w:r>
    </w:p>
    <w:p>
      <w:pPr>
        <w:pStyle w:val="BodyText"/>
      </w:pPr>
      <w:r>
        <w:t xml:space="preserve">Results from our analyses also have implications for determining biological impairments under state or federal water quality mandates. The landscape models could be used to refine the list of potential sites that are not meeting biological criteria by identifying locations that are expected to achieve improved biological condition relative to those that are less likely to improve given landscape constraints. This can provide flexibility by focusing efforts in locations that can be most effectively targeted for actions such as TMDL limits or review of permitting. Further, the ability to evaluate the effects of changing proposed biological thresholds (e.g., tenth percentile of scores at reference sites) and certainty in the model conclusions (i.e., range of biological expectations) on the location and extent of constrained channels provides a means of choosing alternative scenarios for rule-making. A critical objective in allowing this flexibility is not to enable a discounts against sites that are less likely to achieve potential criteria, but rather to facilitate the decision-making process through a more transparent application of the model. Our results showing the change in stream length statewide and by region as related to potential thresholds and model certainty is a direct demonstration of this concept. This exercise could also be downscaled to an individual watershed to aid in rule-making.</w:t>
      </w:r>
    </w:p>
    <w:p>
      <w:pPr>
        <w:pStyle w:val="Heading2"/>
      </w:pPr>
      <w:bookmarkStart w:id="45" w:name="biological-endpoints-are-meaningful-for-describing-constraints"/>
      <w:r>
        <w:t xml:space="preserve">Biological endpoints are meaningful for describing constraints</w:t>
      </w:r>
      <w:bookmarkEnd w:id="45"/>
    </w:p>
    <w:p>
      <w:pPr>
        <w:pStyle w:val="FirstParagraph"/>
      </w:pPr>
      <w:r>
        <w:t xml:space="preserve">Our approach has several advantages compared to alternative means of identifying constraints on biological condition. The landscape model relies exclusively on publically available data using geospatial methods to identify potential constraints. The extreme alternative is a field-based approach using site visits to characterize likely constraints at a location. While both approaches have strengths, the field-based approach is, by definition, labor-intensive and not appropriate as a screening tool to identify patterns on the landscape. More appropriately, the tools provided by the landscape approach could be used to inform decisions on where site visits may be needed to corraborate information from the model. The identification of constrained channels in urban areas that rely on field visits may also define the problem too narrowly. Engineered channels have extreme limitations on physical habitat and our models identified many of these locations in our case study. However, these channels were identified as constrained based on land use only. We identified other locations where engineered channels were not as common but similar constraints were observed, as in agricultural areas. The ability of the model to identify these locations was not accidental given the landscape variables that were used to develop the bioassessment predictions. In the context of the model, a constrained channel may or may not be engineered, but an engineered channel will typically be classified as constrained given the surrounding land use. These results are well supported by other landscape studies, particularly for macroinvertebrates ().</w:t>
      </w:r>
    </w:p>
    <w:p>
      <w:pPr>
        <w:pStyle w:val="BodyText"/>
      </w:pPr>
      <w:r>
        <w:t xml:space="preserve">Our approach also has the advantage of relating strictly to biological condition, as compared to physical or chemical endpoints to assess constraints. This has relevance from the perspective of ecological interpretation as well as potential implications for regulatory standards. The ability of the landscape models to predict the range of expected biological condition at a given site reflects an associative link between land use and stream biology. However, similar arguments that have been made for the use of biological indicators over chemical and physical indicators for assessment can be applied to identifying constraints with the landscape models. A limited range expectations at the lower end of the distibution of CSCI scores is an indication that stressors originating from the landscape have imposed habitat limits that constrain biology. A landscape model that is calibrated for physical or chemical endpoints may not sufficiently describe condition given that a constraint on either may not adequately characterize a constraint on biology. From a regulatory perspective, many states, including California, have explicit assessment requirements that relate to biology and the landscape models are well aligned with existing bioassessment tools. The use of biological endpoints in the landscape models will likely facilitate the development of biological standards as noted above.</w:t>
      </w:r>
    </w:p>
    <w:p>
      <w:pPr>
        <w:pStyle w:val="Heading2"/>
      </w:pPr>
      <w:bookmarkStart w:id="46" w:name="engagement-of-local-stakeholders-is-critical-for-regional-application"/>
      <w:r>
        <w:t xml:space="preserve">Engagement of local stakeholders is critical for regional application</w:t>
      </w:r>
      <w:bookmarkEnd w:id="46"/>
    </w:p>
    <w:p>
      <w:pPr>
        <w:pStyle w:val="FirstParagraph"/>
      </w:pPr>
      <w:r>
        <w:t xml:space="preserve">Application of the landscape models to define potential management actions was effectively enabled through close interaction with our regional stakeholder group. The group was convened specifically to explore how the statewide model could be applied to inform decision-making at the watershed-level. The identified actions for monitoring sites in the San Gabriel watershed was chosen based on consensus among the stakeholders that represented different interests (i.e., regulators, dischargers, constultants, and environmental advocates). The final decision by the group to prioritize management actions for the different sites in broad categories of protect, restore, and monitor was based on an iterative process where ideas were discussed and shared freely among stakeholders. Priorities were never assumed by the authors such that the recommended actions were defined exclusively by the group. This approach ensured that all stakeholders were in agreement with the final product and, therefore, were more likely to adopt the recommendations provided by these tools in formal decision-making. The recommended actions have relevance only in the context of interests of the San Gabriel River Regional Monitoring Program. Application of the statewide model to other watersheds must engage local stakeholders in a similar process to develop recommendations that are adequate to meet regional needs.</w:t>
      </w:r>
    </w:p>
    <w:p>
      <w:pPr>
        <w:pStyle w:val="BodyText"/>
      </w:pPr>
      <w:r>
        <w:t xml:space="preserve">The development of the SCAPE tool (see supplement) was also critical for engaging the stakeholder group. The tool was developed to achieve the dual purposes of demonstrating concepts applied by the model and allowing stakeholders to iteratively evaluate scenarios for defining stream classifications and priorities. Initial challanges in engaging stakeholders were encountered wherein a complete understanding of concepts, as well as limitations, of the model was insufficient for discussing regional application to the SGR. The tool provided a means of demonstrating these concepts that was not possible through more conventional methods, such as static presentations or simple text vignettes. SCAPE also allowed stakeholders to explore the different scenarios that influence the model output, specifically related to changing certainties in the CSCI score predictions and the ability explore alternative thresholds for biological objectives. This functionality is key in our approach to allow the stakeholders to develop recommendations that are completely independent of the model, i.e., decisions are not hard-wired into the model nor SCAPE. Application of the landscape models to other regions will benefit from similar tools that can easily be developed.</w:t>
      </w:r>
    </w:p>
    <w:p>
      <w:pPr>
        <w:pStyle w:val="Heading2"/>
      </w:pPr>
      <w:bookmarkStart w:id="47" w:name="the-landscape-model-is-a-tool-for-exploring-options"/>
      <w:r>
        <w:t xml:space="preserve">The landscape model is a tool for exploring options</w:t>
      </w:r>
      <w:bookmarkEnd w:id="47"/>
    </w:p>
    <w:p>
      <w:pPr>
        <w:pStyle w:val="Compact"/>
        <w:numPr>
          <w:numId w:val="1002"/>
          <w:ilvl w:val="0"/>
        </w:numPr>
      </w:pPr>
      <w:r>
        <w:t xml:space="preserve">Caveats of our aproach</w:t>
      </w:r>
    </w:p>
    <w:p>
      <w:pPr>
        <w:pStyle w:val="Compact"/>
        <w:numPr>
          <w:numId w:val="1003"/>
          <w:ilvl w:val="1"/>
        </w:numPr>
      </w:pPr>
      <w:r>
        <w:t xml:space="preserve">This analysis doesn’t truly tell us if a site can be fixed or if the conditions are truly constrained (key message, need to mention in intro)</w:t>
      </w:r>
    </w:p>
    <w:p>
      <w:pPr>
        <w:pStyle w:val="Compact"/>
        <w:numPr>
          <w:numId w:val="1003"/>
          <w:ilvl w:val="1"/>
        </w:numPr>
      </w:pPr>
      <w:r>
        <w:t xml:space="preserve">What do priorities really mean? Depends on your interests, needs, values, etc.</w:t>
      </w:r>
    </w:p>
    <w:p>
      <w:pPr>
        <w:pStyle w:val="Compact"/>
        <w:numPr>
          <w:numId w:val="1003"/>
          <w:ilvl w:val="1"/>
        </w:numPr>
      </w:pPr>
      <w:r>
        <w:t xml:space="preserve">Constrained may not always mean constrained - CSCI vs other biological indicators</w:t>
      </w:r>
    </w:p>
    <w:p>
      <w:pPr>
        <w:pStyle w:val="Compact"/>
        <w:numPr>
          <w:numId w:val="1003"/>
          <w:ilvl w:val="1"/>
        </w:numPr>
      </w:pPr>
      <w:r>
        <w:t xml:space="preserve">Site-specific approaches are warranted in certain cases</w:t>
      </w:r>
    </w:p>
    <w:p>
      <w:pPr>
        <w:pStyle w:val="Compact"/>
        <w:numPr>
          <w:numId w:val="1003"/>
          <w:ilvl w:val="1"/>
        </w:numPr>
      </w:pPr>
      <w:r>
        <w:t xml:space="preserve">Changing certainty or CSCI treshold - mechanistic effects and implications. Don’t cook the books.</w:t>
      </w:r>
    </w:p>
    <w:p>
      <w:pPr>
        <w:pStyle w:val="Compact"/>
        <w:numPr>
          <w:numId w:val="1002"/>
          <w:ilvl w:val="0"/>
        </w:numPr>
      </w:pPr>
      <w:r>
        <w:t xml:space="preserve">Future work</w:t>
      </w:r>
    </w:p>
    <w:p>
      <w:pPr>
        <w:pStyle w:val="Compact"/>
        <w:numPr>
          <w:numId w:val="1004"/>
          <w:ilvl w:val="1"/>
        </w:numPr>
      </w:pPr>
      <w:r>
        <w:t xml:space="preserve">Ability to link with other assessment tools besides CSCI</w:t>
      </w:r>
    </w:p>
    <w:p>
      <w:pPr>
        <w:pStyle w:val="Compact"/>
        <w:numPr>
          <w:numId w:val="1004"/>
          <w:ilvl w:val="1"/>
        </w:numPr>
      </w:pPr>
      <w:r>
        <w:t xml:space="preserve">Link with engineered channels study</w:t>
      </w:r>
    </w:p>
    <w:p>
      <w:pPr>
        <w:pStyle w:val="Compact"/>
        <w:numPr>
          <w:numId w:val="1004"/>
          <w:ilvl w:val="1"/>
        </w:numPr>
      </w:pPr>
      <w:r>
        <w:t xml:space="preserve">Priorities statewide</w:t>
      </w:r>
    </w:p>
    <w:p>
      <w:pPr>
        <w:pStyle w:val="Compact"/>
        <w:numPr>
          <w:numId w:val="1004"/>
          <w:ilvl w:val="1"/>
        </w:numPr>
      </w:pPr>
      <w:r>
        <w:t xml:space="preserve">Application to larger regions possible (national-scale), or how it can be applied in other areas</w:t>
      </w:r>
    </w:p>
    <w:p>
      <w:pPr>
        <w:pStyle w:val="Heading1"/>
      </w:pPr>
      <w:bookmarkStart w:id="48" w:name="supplement"/>
      <w:r>
        <w:t xml:space="preserve">Supplement</w:t>
      </w:r>
      <w:bookmarkEnd w:id="48"/>
    </w:p>
    <w:p>
      <w:pPr>
        <w:pStyle w:val="FirstParagraph"/>
      </w:pPr>
      <w:r>
        <w:t xml:space="preserve">The SCAPE model application website:</w:t>
      </w:r>
      <w:r>
        <w:t xml:space="preserve"> </w:t>
      </w:r>
      <w:hyperlink r:id="rId49">
        <w:r>
          <w:rPr>
            <w:rStyle w:val="Hyperlink"/>
          </w:rPr>
          <w:t xml:space="preserve">http://shiny.sccwrp.org/scape/</w:t>
        </w:r>
      </w:hyperlink>
    </w:p>
    <w:p>
      <w:pPr>
        <w:pStyle w:val="Heading1"/>
      </w:pPr>
      <w:bookmarkStart w:id="50" w:name="figures"/>
      <w:r>
        <w:t xml:space="preserve">Figures</w:t>
      </w:r>
      <w:bookmarkEnd w:id="50"/>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51"/>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CaptionedFigure"/>
      </w:pPr>
      <w:r>
        <w:drawing>
          <wp:inline>
            <wp:extent cx="5504749"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title="" id="1" name="Picture"/>
            <a:graphic>
              <a:graphicData uri="http://schemas.openxmlformats.org/drawingml/2006/picture">
                <pic:pic>
                  <pic:nvPicPr>
                    <pic:cNvPr descr="figs/sgrshd.png" id="0" name="Picture"/>
                    <pic:cNvPicPr>
                      <a:picLocks noChangeArrowheads="1" noChangeAspect="1"/>
                    </pic:cNvPicPr>
                  </pic:nvPicPr>
                  <pic:blipFill>
                    <a:blip r:embed="rId52"/>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observed bioassessment scores are described relative to the classification as over scoring (above the certainty threshold), expected (within), and under scoring (below) for each of four stream classes (d).</w:t>
      </w:r>
    </w:p>
    <w:p>
      <w:pPr>
        <w:pStyle w:val="CaptionedFigure"/>
      </w:pPr>
      <w:r>
        <w:drawing>
          <wp:inline>
            <wp:extent cx="5943600" cy="5349240"/>
            <wp:effectExtent b="0" l="0" r="0" t="0"/>
            <wp:docPr descr="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 title="" id="1" name="Picture"/>
            <a:graphic>
              <a:graphicData uri="http://schemas.openxmlformats.org/drawingml/2006/picture">
                <pic:pic>
                  <pic:nvPicPr>
                    <pic:cNvPr descr="figs/app.png" id="0" name="Picture"/>
                    <pic:cNvPicPr>
                      <a:picLocks noChangeArrowheads="1" noChangeAspect="1"/>
                    </pic:cNvPicPr>
                  </pic:nvPicPr>
                  <pic:blipFill>
                    <a:blip r:embed="rId54"/>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Stream Classification and Priority Explorer (SCAPE) tool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in the supplementary material.</w:t>
      </w:r>
    </w:p>
    <w:p>
      <w:pPr>
        <w:pStyle w:val="CaptionedFigure"/>
      </w:pPr>
      <w:r>
        <w:drawing>
          <wp:inline>
            <wp:extent cx="5504749" cy="5504749"/>
            <wp:effectExtent b="0" l="0" r="0" t="0"/>
            <wp:docPr descr="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55"/>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(CSCI predicted - observed) were smaller in regions with more urban or agricultural land use (e.g., SC, CV) and larger in regions with less anthropogenic land use (e.g., SN, DM). CV: Central Valley, CH: Chaparral, DM: Deserts Modoc, NC: North Coast, SN: Sierra Nevada, SC: South Coast.</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regional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56"/>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regional boundaries are also shown (see Figure</w:t>
      </w:r>
      <w:r>
        <w:t xml:space="preserve"> </w:t>
      </w:r>
      <w:r>
        <w:t xml:space="preserve">1</w:t>
      </w:r>
      <w:r>
        <w:t xml:space="preserve">).</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57"/>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8"/>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9"/>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60"/>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CaptionedFigure"/>
      </w:pPr>
      <w:r>
        <w:drawing>
          <wp:inline>
            <wp:extent cx="5504749" cy="7339665"/>
            <wp:effectExtent b="0" l="0" r="0" t="0"/>
            <wp:docPr descr="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61"/>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11 Changes in stream reach classes by region and statewide for different scenarios used to define biological constraints. Twenty-seven scenarios were tested that evaluated different combinations of certainty in the CSCI predictions (nine scenarios more certain to less certain as identified by the tail cutoff for the expected range) and potential CSCI threshold (three scenarios for relaxed to more conservative). The percentage of total stream length for each classification is shown for each scenario. CV: Central Valley, CH: Chaparral, DM: Deserts Modoc, NC: North Coast, SN: Sierra Nevada, SC: South Coast.</w:t>
      </w:r>
    </w:p>
    <w:p>
      <w:pPr>
        <w:pStyle w:val="Heading1"/>
      </w:pPr>
      <w:bookmarkStart w:id="62" w:name="tables"/>
      <w:r>
        <w:t xml:space="preserve">Tables</w:t>
      </w:r>
      <w:bookmarkEnd w:id="62"/>
    </w:p>
    <w:p>
      <w:pPr>
        <w:pStyle w:val="TableCaption"/>
      </w:pPr>
      <w:r>
        <w:t xml:space="preserve">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relative site scor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Relative site score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(RMSE),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RMSE),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kilometers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 scoring if the observed scores are above the range of expectations at a reach, expected if within the range, or under 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63" w:name="references"/>
      <w:r>
        <w:t xml:space="preserve">References</w:t>
      </w:r>
      <w:bookmarkEnd w:id="63"/>
    </w:p>
    <w:bookmarkStart w:id="125" w:name="refs"/>
    <w:bookmarkStart w:id="65" w:name="ref-Allan97"/>
    <w:p>
      <w:pPr>
        <w:pStyle w:val="Bibliography"/>
      </w:pPr>
      <w:r>
        <w:t xml:space="preserve">Allan, D., D. Erickson, and J. Fay. 2007. “The Influence of Catchment Land Use on Stream Integrity Across Multiple Spatial Scales.”</w:t>
      </w:r>
      <w:r>
        <w:t xml:space="preserve"> </w:t>
      </w:r>
      <w:r>
        <w:rPr>
          <w:i/>
        </w:rPr>
        <w:t xml:space="preserve">Freshwater Biology</w:t>
      </w:r>
      <w:r>
        <w:t xml:space="preserve"> </w:t>
      </w:r>
      <w:r>
        <w:t xml:space="preserve">37 (1):149–61.</w:t>
      </w:r>
      <w:r>
        <w:t xml:space="preserve"> </w:t>
      </w:r>
      <w:hyperlink r:id="rId64">
        <w:r>
          <w:rPr>
            <w:rStyle w:val="Hyperlink"/>
          </w:rPr>
          <w:t xml:space="preserve">https://doi.org/10.1046/j.1365-2427.1997.d01-546.x</w:t>
        </w:r>
      </w:hyperlink>
      <w:r>
        <w:t xml:space="preserve">.</w:t>
      </w:r>
    </w:p>
    <w:bookmarkEnd w:id="65"/>
    <w:bookmarkStart w:id="67" w:name="ref-Allan04"/>
    <w:p>
      <w:pPr>
        <w:pStyle w:val="Bibliography"/>
      </w:pPr>
      <w:r>
        <w:t xml:space="preserve">Allan, J. D. 2004. “Landscapes and Riverscapes: The Influence of Land Use on Stream Ecosystems.”</w:t>
      </w:r>
      <w:r>
        <w:t xml:space="preserve"> </w:t>
      </w:r>
      <w:r>
        <w:rPr>
          <w:i/>
        </w:rPr>
        <w:t xml:space="preserve">Annual Review of Ecology, Evolution, and Systematics</w:t>
      </w:r>
      <w:r>
        <w:t xml:space="preserve"> </w:t>
      </w:r>
      <w:r>
        <w:t xml:space="preserve">35:257–64.</w:t>
      </w:r>
      <w:r>
        <w:t xml:space="preserve"> </w:t>
      </w:r>
      <w:hyperlink r:id="rId66">
        <w:r>
          <w:rPr>
            <w:rStyle w:val="Hyperlink"/>
          </w:rPr>
          <w:t xml:space="preserve">https://doi.org/10.1146/annurev.ecolsys.35.120202.110122</w:t>
        </w:r>
      </w:hyperlink>
      <w:r>
        <w:t xml:space="preserve">.</w:t>
      </w:r>
    </w:p>
    <w:bookmarkEnd w:id="67"/>
    <w:bookmarkStart w:id="68"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68"/>
    <w:bookmarkStart w:id="69"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9"/>
    <w:bookmarkStart w:id="71" w:name="ref-Carline07"/>
    <w:p>
      <w:pPr>
        <w:pStyle w:val="Bibliography"/>
      </w:pPr>
      <w:r>
        <w:t xml:space="preserve">Carline, R. F., and M. C. Walsh. 2007. “Responses to Riparian Restoration in the Spring Creek Watershed, Central Pennsylvania.”</w:t>
      </w:r>
      <w:r>
        <w:t xml:space="preserve"> </w:t>
      </w:r>
      <w:r>
        <w:rPr>
          <w:i/>
        </w:rPr>
        <w:t xml:space="preserve">Restoration Ecology</w:t>
      </w:r>
      <w:r>
        <w:t xml:space="preserve"> </w:t>
      </w:r>
      <w:r>
        <w:t xml:space="preserve">15 (4):731–42.</w:t>
      </w:r>
      <w:r>
        <w:t xml:space="preserve"> </w:t>
      </w:r>
      <w:hyperlink r:id="rId70">
        <w:r>
          <w:rPr>
            <w:rStyle w:val="Hyperlink"/>
          </w:rPr>
          <w:t xml:space="preserve">https://doi.org/10.1111/j.1526-100X.2007.00285.x</w:t>
        </w:r>
      </w:hyperlink>
      <w:r>
        <w:t xml:space="preserve">.</w:t>
      </w:r>
    </w:p>
    <w:bookmarkEnd w:id="71"/>
    <w:bookmarkStart w:id="73"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72">
        <w:r>
          <w:rPr>
            <w:rStyle w:val="Hyperlink"/>
          </w:rPr>
          <w:t xml:space="preserve">https://doi.org/10.1007/s10661-008-0256-z</w:t>
        </w:r>
      </w:hyperlink>
      <w:r>
        <w:t xml:space="preserve">.</w:t>
      </w:r>
    </w:p>
    <w:bookmarkEnd w:id="73"/>
    <w:bookmarkStart w:id="75"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74">
        <w:r>
          <w:rPr>
            <w:rStyle w:val="Hyperlink"/>
          </w:rPr>
          <w:t xml:space="preserve">https://doi.org/10.1016/j.ecolind.2013.07.006</w:t>
        </w:r>
      </w:hyperlink>
      <w:r>
        <w:t xml:space="preserve">.</w:t>
      </w:r>
    </w:p>
    <w:bookmarkEnd w:id="75"/>
    <w:bookmarkStart w:id="77" w:name="ref-Clapcott11"/>
    <w:p>
      <w:pPr>
        <w:pStyle w:val="Bibliography"/>
      </w:pPr>
      <w:r>
        <w:t xml:space="preserve">Clapcott, J. E., K. J. Collier, R. G. Death, E. O. Goodwin, J. S. Harding, D. Kelly, J. R. Leathwick, and R. G. Young. 2011. “Quantifying Relationships Between Land-Use Gradients and Structural and Functional Indicators of Stream Ecological Integrity.”</w:t>
      </w:r>
      <w:r>
        <w:t xml:space="preserve"> </w:t>
      </w:r>
      <w:r>
        <w:rPr>
          <w:i/>
        </w:rPr>
        <w:t xml:space="preserve">Freshwater Biology</w:t>
      </w:r>
      <w:r>
        <w:t xml:space="preserve"> </w:t>
      </w:r>
      <w:r>
        <w:t xml:space="preserve">57 (1):74–90.</w:t>
      </w:r>
      <w:r>
        <w:t xml:space="preserve"> </w:t>
      </w:r>
      <w:hyperlink r:id="rId76">
        <w:r>
          <w:rPr>
            <w:rStyle w:val="Hyperlink"/>
          </w:rPr>
          <w:t xml:space="preserve">https://doi.org/10.1111/j.1365-2427.2011.02696.x</w:t>
        </w:r>
      </w:hyperlink>
      <w:r>
        <w:t xml:space="preserve">.</w:t>
      </w:r>
    </w:p>
    <w:bookmarkEnd w:id="77"/>
    <w:bookmarkStart w:id="79" w:name="ref-Cormier13"/>
    <w:p>
      <w:pPr>
        <w:pStyle w:val="Bibliography"/>
      </w:pPr>
      <w:r>
        <w:t xml:space="preserve">Cormier, S. M., G. W. Suter II, L. Zhang, and G. J. Pond. 2013. “Assessing Causation of the Extirpation of Stream Macroinvertebrates by a Mixture of Ions.”</w:t>
      </w:r>
      <w:r>
        <w:t xml:space="preserve"> </w:t>
      </w:r>
      <w:r>
        <w:rPr>
          <w:i/>
        </w:rPr>
        <w:t xml:space="preserve">Environmental Toxicology and Chemistry</w:t>
      </w:r>
      <w:r>
        <w:t xml:space="preserve"> </w:t>
      </w:r>
      <w:r>
        <w:t xml:space="preserve">32 (2):277–87.</w:t>
      </w:r>
      <w:r>
        <w:t xml:space="preserve"> </w:t>
      </w:r>
      <w:hyperlink r:id="rId78">
        <w:r>
          <w:rPr>
            <w:rStyle w:val="Hyperlink"/>
          </w:rPr>
          <w:t xml:space="preserve">https://doi.org/10.1002/etc.2059</w:t>
        </w:r>
      </w:hyperlink>
      <w:r>
        <w:t xml:space="preserve">.</w:t>
      </w:r>
    </w:p>
    <w:bookmarkEnd w:id="79"/>
    <w:bookmarkStart w:id="81" w:name="ref-Finkenbine00"/>
    <w:p>
      <w:pPr>
        <w:pStyle w:val="Bibliography"/>
      </w:pPr>
      <w:r>
        <w:t xml:space="preserve">Finkenbine, J. K., J. W. Atwater, and D. S. Mavinic. 2000. “Stream Health After Urbanization.”</w:t>
      </w:r>
      <w:r>
        <w:t xml:space="preserve"> </w:t>
      </w:r>
      <w:r>
        <w:rPr>
          <w:i/>
        </w:rPr>
        <w:t xml:space="preserve">Journal of the American Water Resources Association</w:t>
      </w:r>
      <w:r>
        <w:t xml:space="preserve"> </w:t>
      </w:r>
      <w:r>
        <w:t xml:space="preserve">36 (5):1149–60.</w:t>
      </w:r>
      <w:r>
        <w:t xml:space="preserve"> </w:t>
      </w:r>
      <w:hyperlink r:id="rId80">
        <w:r>
          <w:rPr>
            <w:rStyle w:val="Hyperlink"/>
          </w:rPr>
          <w:t xml:space="preserve">https://doi.org/10.1111/j.1752-1688.2000.tb05717.x</w:t>
        </w:r>
      </w:hyperlink>
      <w:r>
        <w:t xml:space="preserve">.</w:t>
      </w:r>
    </w:p>
    <w:bookmarkEnd w:id="81"/>
    <w:bookmarkStart w:id="82"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82"/>
    <w:bookmarkStart w:id="84" w:name="ref-Hill17"/>
    <w:p>
      <w:pPr>
        <w:pStyle w:val="Bibliography"/>
      </w:pPr>
      <w:r>
        <w:t xml:space="preserve">Hill, R. A., E. W. Fox, S. G. Leibowitz, A. R. Olsen, D. J. Thornbrugh, and M. H. Weber. 2017. “Predictive Mapping of the Biotic Condition of Conterminous U.S. Rivers and Streams.”</w:t>
      </w:r>
      <w:r>
        <w:t xml:space="preserve"> </w:t>
      </w:r>
      <w:r>
        <w:rPr>
          <w:i/>
        </w:rPr>
        <w:t xml:space="preserve">Ecological Applications</w:t>
      </w:r>
      <w:r>
        <w:t xml:space="preserve"> </w:t>
      </w:r>
      <w:r>
        <w:t xml:space="preserve">27 (8):2397–2415.</w:t>
      </w:r>
      <w:r>
        <w:t xml:space="preserve"> </w:t>
      </w:r>
      <w:hyperlink r:id="rId83">
        <w:r>
          <w:rPr>
            <w:rStyle w:val="Hyperlink"/>
          </w:rPr>
          <w:t xml:space="preserve">https://doi.org/10.1002/eap.1617</w:t>
        </w:r>
      </w:hyperlink>
      <w:r>
        <w:t xml:space="preserve">.</w:t>
      </w:r>
    </w:p>
    <w:bookmarkEnd w:id="84"/>
    <w:bookmarkStart w:id="8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85">
        <w:r>
          <w:rPr>
            <w:rStyle w:val="Hyperlink"/>
          </w:rPr>
          <w:t xml:space="preserve">https://doi.org/10.1111/1752-1688.12372</w:t>
        </w:r>
      </w:hyperlink>
      <w:r>
        <w:t xml:space="preserve">.</w:t>
      </w:r>
    </w:p>
    <w:bookmarkEnd w:id="86"/>
    <w:bookmarkStart w:id="88"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87">
        <w:r>
          <w:rPr>
            <w:rStyle w:val="Hyperlink"/>
          </w:rPr>
          <w:t xml:space="preserve">https://doi.org/10.1371/journal.pone.0130710</w:t>
        </w:r>
      </w:hyperlink>
      <w:r>
        <w:t xml:space="preserve">.</w:t>
      </w:r>
    </w:p>
    <w:bookmarkEnd w:id="88"/>
    <w:bookmarkStart w:id="89" w:name="ref-Howard09"/>
    <w:p>
      <w:pPr>
        <w:pStyle w:val="Bibliography"/>
      </w:pPr>
      <w:r>
        <w:t xml:space="preserve">Howard, J., and C. Revenga. 2000. “California’s Freshwater Biodiversity in a Continental Context. Science for Conservation Technical Brief Series.” San Francisco, CA: The Nature Conservancy of California.</w:t>
      </w:r>
    </w:p>
    <w:bookmarkEnd w:id="89"/>
    <w:bookmarkStart w:id="91"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90">
        <w:r>
          <w:rPr>
            <w:rStyle w:val="Hyperlink"/>
          </w:rPr>
          <w:t xml:space="preserve">https://doi.org/10.1111/j.1752-1688.2011.00635.x</w:t>
        </w:r>
      </w:hyperlink>
      <w:r>
        <w:t xml:space="preserve">.</w:t>
      </w:r>
    </w:p>
    <w:bookmarkEnd w:id="91"/>
    <w:bookmarkStart w:id="93"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92">
        <w:r>
          <w:rPr>
            <w:rStyle w:val="Hyperlink"/>
          </w:rPr>
          <w:t xml:space="preserve">https://doi.org/10.1016/j.scitotenv.2015.07.083</w:t>
        </w:r>
      </w:hyperlink>
      <w:r>
        <w:t xml:space="preserve">.</w:t>
      </w:r>
    </w:p>
    <w:bookmarkEnd w:id="93"/>
    <w:bookmarkStart w:id="95" w:name="ref-Lester08"/>
    <w:p>
      <w:pPr>
        <w:pStyle w:val="Bibliography"/>
      </w:pPr>
      <w:r>
        <w:t xml:space="preserve">Lester, R. E., and A. J. Boulton. 2008. “Rehabilitating Agricultural Streams in Australia with Wood: A Review.”</w:t>
      </w:r>
      <w:r>
        <w:t xml:space="preserve"> </w:t>
      </w:r>
      <w:r>
        <w:rPr>
          <w:i/>
        </w:rPr>
        <w:t xml:space="preserve">Environmental Management</w:t>
      </w:r>
      <w:r>
        <w:t xml:space="preserve"> </w:t>
      </w:r>
      <w:r>
        <w:t xml:space="preserve">42 (2):310–26.</w:t>
      </w:r>
      <w:r>
        <w:t xml:space="preserve"> </w:t>
      </w:r>
      <w:hyperlink r:id="rId94">
        <w:r>
          <w:rPr>
            <w:rStyle w:val="Hyperlink"/>
          </w:rPr>
          <w:t xml:space="preserve">https://doi.org/10.1007%2Fs00267-008-9151-1</w:t>
        </w:r>
      </w:hyperlink>
      <w:r>
        <w:t xml:space="preserve">.</w:t>
      </w:r>
    </w:p>
    <w:bookmarkEnd w:id="95"/>
    <w:bookmarkStart w:id="96"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6"/>
    <w:bookmarkStart w:id="97"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97"/>
    <w:bookmarkStart w:id="98"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98"/>
    <w:bookmarkStart w:id="100"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99">
        <w:r>
          <w:rPr>
            <w:rStyle w:val="Hyperlink"/>
          </w:rPr>
          <w:t xml:space="preserve">https://CRAN.R-project.org/package=quantregForest</w:t>
        </w:r>
      </w:hyperlink>
      <w:r>
        <w:t xml:space="preserve">.</w:t>
      </w:r>
    </w:p>
    <w:bookmarkEnd w:id="100"/>
    <w:bookmarkStart w:id="101" w:name="ref-Morgan05"/>
    <w:p>
      <w:pPr>
        <w:pStyle w:val="Bibliography"/>
      </w:pPr>
      <w:r>
        <w:t xml:space="preserve">Morgan, R. P., and S. E. Cushman. 2005. “Urbanization Effects on Stream Fish Assemblages in Maryland, USA.”</w:t>
      </w:r>
      <w:r>
        <w:t xml:space="preserve"> </w:t>
      </w:r>
      <w:r>
        <w:rPr>
          <w:i/>
        </w:rPr>
        <w:t xml:space="preserve">Journal of the North American Benthological Society</w:t>
      </w:r>
      <w:r>
        <w:t xml:space="preserve"> </w:t>
      </w:r>
      <w:r>
        <w:t xml:space="preserve">24 (3):643–55.</w:t>
      </w:r>
    </w:p>
    <w:bookmarkEnd w:id="101"/>
    <w:bookmarkStart w:id="103"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102">
        <w:r>
          <w:rPr>
            <w:rStyle w:val="Hyperlink"/>
          </w:rPr>
          <w:t xml:space="preserve">https://doi.org/10.1016/j.watres.2004.09.002</w:t>
        </w:r>
      </w:hyperlink>
      <w:r>
        <w:t xml:space="preserve">.</w:t>
      </w:r>
    </w:p>
    <w:bookmarkEnd w:id="103"/>
    <w:bookmarkStart w:id="104"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104"/>
    <w:bookmarkStart w:id="105"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105"/>
    <w:bookmarkStart w:id="106"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106"/>
    <w:bookmarkStart w:id="108" w:name="ref-Riseng11"/>
    <w:p>
      <w:pPr>
        <w:pStyle w:val="Bibliography"/>
      </w:pPr>
      <w:r>
        <w:t xml:space="preserve">Riseng, C. M., M. J. Wiley, R. W. Black, and M. D. Munn. 2011. “Impacts of Agricultural Land Use on Biological Integirty: A Causal Analysis.”</w:t>
      </w:r>
      <w:r>
        <w:t xml:space="preserve"> </w:t>
      </w:r>
      <w:r>
        <w:rPr>
          <w:i/>
        </w:rPr>
        <w:t xml:space="preserve">Ecological Applications</w:t>
      </w:r>
      <w:r>
        <w:t xml:space="preserve"> </w:t>
      </w:r>
      <w:r>
        <w:t xml:space="preserve">21 (8):3128–46.</w:t>
      </w:r>
      <w:r>
        <w:t xml:space="preserve"> </w:t>
      </w:r>
      <w:hyperlink r:id="rId107">
        <w:r>
          <w:rPr>
            <w:rStyle w:val="Hyperlink"/>
          </w:rPr>
          <w:t xml:space="preserve">https://doi.org/10.1890/11-0077.1</w:t>
        </w:r>
      </w:hyperlink>
      <w:r>
        <w:t xml:space="preserve">.</w:t>
      </w:r>
    </w:p>
    <w:bookmarkEnd w:id="108"/>
    <w:bookmarkStart w:id="109" w:name="ref-Roni12"/>
    <w:p>
      <w:pPr>
        <w:pStyle w:val="Bibliography"/>
      </w:pPr>
      <w:r>
        <w:t xml:space="preserve">Roni, P., and T. Beechi. 2012.</w:t>
      </w:r>
      <w:r>
        <w:t xml:space="preserve"> </w:t>
      </w:r>
      <w:r>
        <w:rPr>
          <w:i/>
        </w:rPr>
        <w:t xml:space="preserve">Stream and Watershed Restoration Guide: A Guide to Restoring Riverine Processes and Habitats</w:t>
      </w:r>
      <w:r>
        <w:t xml:space="preserve">. First. Hoboken, New Jersey: John Wiley &amp; Sons.</w:t>
      </w:r>
    </w:p>
    <w:bookmarkEnd w:id="109"/>
    <w:bookmarkStart w:id="111"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110">
        <w:r>
          <w:rPr>
            <w:rStyle w:val="Hyperlink"/>
          </w:rPr>
          <w:t xml:space="preserve">https://doi.org/10.1111/gec3.12039</w:t>
        </w:r>
      </w:hyperlink>
      <w:r>
        <w:t xml:space="preserve">.</w:t>
      </w:r>
    </w:p>
    <w:bookmarkEnd w:id="111"/>
    <w:bookmarkStart w:id="113"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112">
        <w:r>
          <w:rPr>
            <w:rStyle w:val="Hyperlink"/>
          </w:rPr>
          <w:t xml:space="preserve">https://doi.org/10.1007/s10661-010-1385-8</w:t>
        </w:r>
      </w:hyperlink>
      <w:r>
        <w:t xml:space="preserve">.</w:t>
      </w:r>
    </w:p>
    <w:bookmarkEnd w:id="113"/>
    <w:bookmarkStart w:id="115"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114">
        <w:r>
          <w:rPr>
            <w:rStyle w:val="Hyperlink"/>
          </w:rPr>
          <w:t xml:space="preserve">https://doi.org/10.1046/j.1365-2427.2001.00758.x</w:t>
        </w:r>
      </w:hyperlink>
      <w:r>
        <w:t xml:space="preserve">.</w:t>
      </w:r>
    </w:p>
    <w:bookmarkEnd w:id="115"/>
    <w:bookmarkStart w:id="117"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116">
        <w:r>
          <w:rPr>
            <w:rStyle w:val="Hyperlink"/>
          </w:rPr>
          <w:t xml:space="preserve">https://doi.org/10.1111/j.1365-2664.2008.01548.x</w:t>
        </w:r>
      </w:hyperlink>
      <w:r>
        <w:t xml:space="preserve">.</w:t>
      </w:r>
    </w:p>
    <w:bookmarkEnd w:id="117"/>
    <w:bookmarkStart w:id="118" w:name="ref-USEPA16"/>
    <w:p>
      <w:pPr>
        <w:pStyle w:val="Bibliography"/>
      </w:pPr>
      <w:r>
        <w:t xml:space="preserve">USEPA (US Environmental Protection Agency). 2016. “National Rivers and Streams Assessment 2008-2009: A Collaborative Survey.” EPA-841-R-16-007. Washington, DC.</w:t>
      </w:r>
    </w:p>
    <w:bookmarkEnd w:id="118"/>
    <w:bookmarkStart w:id="119" w:name="ref-USGS99"/>
    <w:p>
      <w:pPr>
        <w:pStyle w:val="Bibliography"/>
      </w:pPr>
      <w:r>
        <w:t xml:space="preserve">USGS (US Geological Survey). 1999. “The quality of our nation’s waters: nutrients and pesticides.” Reston, Virginia.</w:t>
      </w:r>
    </w:p>
    <w:bookmarkEnd w:id="119"/>
    <w:bookmarkStart w:id="120" w:name="ref-USGS14"/>
    <w:p>
      <w:pPr>
        <w:pStyle w:val="Bibliography"/>
      </w:pPr>
      <w:r>
        <w:t xml:space="preserve">———. 2014. “National Hydrography Dataset available on the World Wide Web.”</w:t>
      </w:r>
    </w:p>
    <w:bookmarkEnd w:id="120"/>
    <w:bookmarkStart w:id="122" w:name="ref-Volstad04"/>
    <w:p>
      <w:pPr>
        <w:pStyle w:val="Bibliography"/>
      </w:pPr>
      <w:r>
        <w:t xml:space="preserve">Vølstad, J. H., N. E. Roth, G. Mercurio, M. T. Southerland, and D. E. Strebel. 2004. “Using Environmental Stressor Information to Predict the Ecological Status of Maryland Non-Tidal Streams as Measured by Biological Indicators.”</w:t>
      </w:r>
      <w:r>
        <w:t xml:space="preserve"> </w:t>
      </w:r>
      <w:r>
        <w:rPr>
          <w:i/>
        </w:rPr>
        <w:t xml:space="preserve">Environmental Monitoring and Assessment</w:t>
      </w:r>
      <w:r>
        <w:t xml:space="preserve"> </w:t>
      </w:r>
      <w:r>
        <w:t xml:space="preserve">84 (3):219–42.</w:t>
      </w:r>
      <w:r>
        <w:t xml:space="preserve"> </w:t>
      </w:r>
      <w:hyperlink r:id="rId121">
        <w:r>
          <w:rPr>
            <w:rStyle w:val="Hyperlink"/>
          </w:rPr>
          <w:t xml:space="preserve">https://doi.org/10.1023/A:1023374524254</w:t>
        </w:r>
      </w:hyperlink>
      <w:r>
        <w:t xml:space="preserve">.</w:t>
      </w:r>
    </w:p>
    <w:bookmarkEnd w:id="122"/>
    <w:bookmarkStart w:id="124" w:name="ref-Wang97"/>
    <w:p>
      <w:pPr>
        <w:pStyle w:val="Bibliography"/>
      </w:pPr>
      <w:r>
        <w:t xml:space="preserve">Wang, L., J. Lyons, P. Kanehl, and R. Gatti. 1997. “Influences of Watershed Land Use on Habitat Quality and Biotic Integrity in Wisconsin Streams.”</w:t>
      </w:r>
      <w:r>
        <w:t xml:space="preserve"> </w:t>
      </w:r>
      <w:r>
        <w:rPr>
          <w:i/>
        </w:rPr>
        <w:t xml:space="preserve">Fisheries</w:t>
      </w:r>
      <w:r>
        <w:t xml:space="preserve"> </w:t>
      </w:r>
      <w:r>
        <w:t xml:space="preserve">22 (6):6–12.</w:t>
      </w:r>
      <w:r>
        <w:t xml:space="preserve"> </w:t>
      </w:r>
      <w:hyperlink r:id="rId123">
        <w:r>
          <w:rPr>
            <w:rStyle w:val="Hyperlink"/>
          </w:rPr>
          <w:t xml:space="preserve">https://doi.org/10.1577/1548-8446(1997)022%3C0006:IOWLUO%3E2.0.CO;2</w:t>
        </w:r>
      </w:hyperlink>
      <w:r>
        <w:t xml:space="preserve">.</w:t>
      </w:r>
    </w:p>
    <w:bookmarkEnd w:id="124"/>
    <w:bookmarkEnd w:id="12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hyperlink" Id="rId49" Target="http://shiny.sccwrp.org/scape/" TargetMode="External" /><Relationship Type="http://schemas.openxmlformats.org/officeDocument/2006/relationships/hyperlink" Id="rId99" Target="https://CRAN.R-project.org/package=quantregForest" TargetMode="External" /><Relationship Type="http://schemas.openxmlformats.org/officeDocument/2006/relationships/hyperlink" Id="rId83" Target="https://doi.org/10.1002/eap.1617" TargetMode="External" /><Relationship Type="http://schemas.openxmlformats.org/officeDocument/2006/relationships/hyperlink" Id="rId78" Target="https://doi.org/10.1002/etc.2059" TargetMode="External" /><Relationship Type="http://schemas.openxmlformats.org/officeDocument/2006/relationships/hyperlink" Id="rId94" Target="https://doi.org/10.1007%2Fs00267-008-9151-1" TargetMode="External" /><Relationship Type="http://schemas.openxmlformats.org/officeDocument/2006/relationships/hyperlink" Id="rId72" Target="https://doi.org/10.1007/s10661-008-0256-z" TargetMode="External" /><Relationship Type="http://schemas.openxmlformats.org/officeDocument/2006/relationships/hyperlink" Id="rId112" Target="https://doi.org/10.1007/s10661-010-1385-8" TargetMode="External" /><Relationship Type="http://schemas.openxmlformats.org/officeDocument/2006/relationships/hyperlink" Id="rId74" Target="https://doi.org/10.1016/j.ecolind.2013.07.006" TargetMode="External" /><Relationship Type="http://schemas.openxmlformats.org/officeDocument/2006/relationships/hyperlink" Id="rId92" Target="https://doi.org/10.1016/j.scitotenv.2015.07.083" TargetMode="External" /><Relationship Type="http://schemas.openxmlformats.org/officeDocument/2006/relationships/hyperlink" Id="rId102" Target="https://doi.org/10.1016/j.watres.2004.09.002" TargetMode="External" /><Relationship Type="http://schemas.openxmlformats.org/officeDocument/2006/relationships/hyperlink" Id="rId121" Target="https://doi.org/10.1023/A:1023374524254" TargetMode="External" /><Relationship Type="http://schemas.openxmlformats.org/officeDocument/2006/relationships/hyperlink" Id="rId64" Target="https://doi.org/10.1046/j.1365-2427.1997.d01-546.x" TargetMode="External" /><Relationship Type="http://schemas.openxmlformats.org/officeDocument/2006/relationships/hyperlink" Id="rId114" Target="https://doi.org/10.1046/j.1365-2427.2001.00758.x" TargetMode="External" /><Relationship Type="http://schemas.openxmlformats.org/officeDocument/2006/relationships/hyperlink" Id="rId85" Target="https://doi.org/10.1111/1752-1688.12372" TargetMode="External" /><Relationship Type="http://schemas.openxmlformats.org/officeDocument/2006/relationships/hyperlink" Id="rId110" Target="https://doi.org/10.1111/gec3.12039" TargetMode="External" /><Relationship Type="http://schemas.openxmlformats.org/officeDocument/2006/relationships/hyperlink" Id="rId76" Target="https://doi.org/10.1111/j.1365-2427.2011.02696.x" TargetMode="External" /><Relationship Type="http://schemas.openxmlformats.org/officeDocument/2006/relationships/hyperlink" Id="rId116" Target="https://doi.org/10.1111/j.1365-2664.2008.01548.x" TargetMode="External" /><Relationship Type="http://schemas.openxmlformats.org/officeDocument/2006/relationships/hyperlink" Id="rId70" Target="https://doi.org/10.1111/j.1526-100X.2007.00285.x" TargetMode="External" /><Relationship Type="http://schemas.openxmlformats.org/officeDocument/2006/relationships/hyperlink" Id="rId80" Target="https://doi.org/10.1111/j.1752-1688.2000.tb05717.x" TargetMode="External" /><Relationship Type="http://schemas.openxmlformats.org/officeDocument/2006/relationships/hyperlink" Id="rId90" Target="https://doi.org/10.1111/j.1752-1688.2011.00635.x" TargetMode="External" /><Relationship Type="http://schemas.openxmlformats.org/officeDocument/2006/relationships/hyperlink" Id="rId66" Target="https://doi.org/10.1146/annurev.ecolsys.35.120202.110122" TargetMode="External" /><Relationship Type="http://schemas.openxmlformats.org/officeDocument/2006/relationships/hyperlink" Id="rId87" Target="https://doi.org/10.1371/journal.pone.0130710" TargetMode="External" /><Relationship Type="http://schemas.openxmlformats.org/officeDocument/2006/relationships/hyperlink" Id="rId123" Target="https://doi.org/10.1577/1548-8446(1997)022%3C0006:IOWLUO%3E2.0.CO;2" TargetMode="External" /><Relationship Type="http://schemas.openxmlformats.org/officeDocument/2006/relationships/hyperlink" Id="rId107"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9" Target="http://shiny.sccwrp.org/scape/" TargetMode="External" /><Relationship Type="http://schemas.openxmlformats.org/officeDocument/2006/relationships/hyperlink" Id="rId99" Target="https://CRAN.R-project.org/package=quantregForest" TargetMode="External" /><Relationship Type="http://schemas.openxmlformats.org/officeDocument/2006/relationships/hyperlink" Id="rId83" Target="https://doi.org/10.1002/eap.1617" TargetMode="External" /><Relationship Type="http://schemas.openxmlformats.org/officeDocument/2006/relationships/hyperlink" Id="rId78" Target="https://doi.org/10.1002/etc.2059" TargetMode="External" /><Relationship Type="http://schemas.openxmlformats.org/officeDocument/2006/relationships/hyperlink" Id="rId94" Target="https://doi.org/10.1007%2Fs00267-008-9151-1" TargetMode="External" /><Relationship Type="http://schemas.openxmlformats.org/officeDocument/2006/relationships/hyperlink" Id="rId72" Target="https://doi.org/10.1007/s10661-008-0256-z" TargetMode="External" /><Relationship Type="http://schemas.openxmlformats.org/officeDocument/2006/relationships/hyperlink" Id="rId112" Target="https://doi.org/10.1007/s10661-010-1385-8" TargetMode="External" /><Relationship Type="http://schemas.openxmlformats.org/officeDocument/2006/relationships/hyperlink" Id="rId74" Target="https://doi.org/10.1016/j.ecolind.2013.07.006" TargetMode="External" /><Relationship Type="http://schemas.openxmlformats.org/officeDocument/2006/relationships/hyperlink" Id="rId92" Target="https://doi.org/10.1016/j.scitotenv.2015.07.083" TargetMode="External" /><Relationship Type="http://schemas.openxmlformats.org/officeDocument/2006/relationships/hyperlink" Id="rId102" Target="https://doi.org/10.1016/j.watres.2004.09.002" TargetMode="External" /><Relationship Type="http://schemas.openxmlformats.org/officeDocument/2006/relationships/hyperlink" Id="rId121" Target="https://doi.org/10.1023/A:1023374524254" TargetMode="External" /><Relationship Type="http://schemas.openxmlformats.org/officeDocument/2006/relationships/hyperlink" Id="rId64" Target="https://doi.org/10.1046/j.1365-2427.1997.d01-546.x" TargetMode="External" /><Relationship Type="http://schemas.openxmlformats.org/officeDocument/2006/relationships/hyperlink" Id="rId114" Target="https://doi.org/10.1046/j.1365-2427.2001.00758.x" TargetMode="External" /><Relationship Type="http://schemas.openxmlformats.org/officeDocument/2006/relationships/hyperlink" Id="rId85" Target="https://doi.org/10.1111/1752-1688.12372" TargetMode="External" /><Relationship Type="http://schemas.openxmlformats.org/officeDocument/2006/relationships/hyperlink" Id="rId110" Target="https://doi.org/10.1111/gec3.12039" TargetMode="External" /><Relationship Type="http://schemas.openxmlformats.org/officeDocument/2006/relationships/hyperlink" Id="rId76" Target="https://doi.org/10.1111/j.1365-2427.2011.02696.x" TargetMode="External" /><Relationship Type="http://schemas.openxmlformats.org/officeDocument/2006/relationships/hyperlink" Id="rId116" Target="https://doi.org/10.1111/j.1365-2664.2008.01548.x" TargetMode="External" /><Relationship Type="http://schemas.openxmlformats.org/officeDocument/2006/relationships/hyperlink" Id="rId70" Target="https://doi.org/10.1111/j.1526-100X.2007.00285.x" TargetMode="External" /><Relationship Type="http://schemas.openxmlformats.org/officeDocument/2006/relationships/hyperlink" Id="rId80" Target="https://doi.org/10.1111/j.1752-1688.2000.tb05717.x" TargetMode="External" /><Relationship Type="http://schemas.openxmlformats.org/officeDocument/2006/relationships/hyperlink" Id="rId90" Target="https://doi.org/10.1111/j.1752-1688.2011.00635.x" TargetMode="External" /><Relationship Type="http://schemas.openxmlformats.org/officeDocument/2006/relationships/hyperlink" Id="rId66" Target="https://doi.org/10.1146/annurev.ecolsys.35.120202.110122" TargetMode="External" /><Relationship Type="http://schemas.openxmlformats.org/officeDocument/2006/relationships/hyperlink" Id="rId87" Target="https://doi.org/10.1371/journal.pone.0130710" TargetMode="External" /><Relationship Type="http://schemas.openxmlformats.org/officeDocument/2006/relationships/hyperlink" Id="rId123" Target="https://doi.org/10.1577/1548-8446(1997)022%3C0006:IOWLUO%3E2.0.CO;2" TargetMode="External" /><Relationship Type="http://schemas.openxmlformats.org/officeDocument/2006/relationships/hyperlink" Id="rId107" Target="https://doi.org/10.1890/11-0077.1"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2018-05-12T17:22:54Z</dcterms:created>
  <dcterms:modified xsi:type="dcterms:W3CDTF">2018-05-12T17:22:54Z</dcterms:modified>
</cp:coreProperties>
</file>